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1E6" w:rsidRDefault="000611E6" w:rsidP="000611E6">
      <w:pPr>
        <w:ind w:firstLineChars="100" w:firstLine="248"/>
        <w:rPr>
          <w:rFonts w:ascii="Meiryo UI" w:eastAsia="Meiryo UI" w:hAnsi="Meiryo UI" w:cs="Meiryo UI"/>
          <w:b/>
          <w:sz w:val="24"/>
          <w:szCs w:val="24"/>
        </w:rPr>
      </w:pPr>
      <w:bookmarkStart w:id="0" w:name="_GoBack"/>
      <w:bookmarkEnd w:id="0"/>
      <w:r>
        <w:rPr>
          <w:rFonts w:ascii="Meiryo UI" w:eastAsia="Meiryo UI" w:hAnsi="Meiryo UI" w:cs="Meiryo UI" w:hint="eastAsia"/>
          <w:b/>
          <w:sz w:val="24"/>
          <w:szCs w:val="24"/>
        </w:rPr>
        <w:t>個人住民税に関する税務事務の特定個人情報保護評価書（全項目評価書）の一部変更（案）についてのパブリックコメント実施結果</w:t>
      </w:r>
    </w:p>
    <w:p w:rsidR="000611E6" w:rsidRDefault="000611E6" w:rsidP="000611E6"/>
    <w:p w:rsidR="000611E6" w:rsidRPr="000611E6" w:rsidRDefault="000611E6" w:rsidP="000611E6">
      <w:pPr>
        <w:ind w:firstLineChars="100" w:firstLine="218"/>
      </w:pPr>
      <w:r w:rsidRPr="000611E6">
        <w:rPr>
          <w:rFonts w:hint="eastAsia"/>
        </w:rPr>
        <w:t>本市では、平成２９年３月１０日から同月２３日までの期間、「個人住民税に関する税務事務の特定個人情報保護評価書（全項目評価書）の一部変更（案）」についてのパブリックコメントを実施しました。</w:t>
      </w:r>
    </w:p>
    <w:p w:rsidR="000611E6" w:rsidRPr="000611E6" w:rsidRDefault="000611E6" w:rsidP="000611E6">
      <w:pPr>
        <w:ind w:firstLineChars="100" w:firstLine="218"/>
      </w:pPr>
      <w:r w:rsidRPr="000611E6">
        <w:rPr>
          <w:rFonts w:hint="eastAsia"/>
        </w:rPr>
        <w:t>いただきました御意見の要旨及びそれに対する本市の考え方を、以下のとおりまとめましたので、公表いたします。</w:t>
      </w:r>
    </w:p>
    <w:p w:rsidR="000611E6" w:rsidRPr="000611E6" w:rsidRDefault="000611E6" w:rsidP="000611E6"/>
    <w:p w:rsidR="000611E6" w:rsidRPr="000611E6" w:rsidRDefault="000611E6" w:rsidP="000611E6">
      <w:pPr>
        <w:ind w:left="218" w:hangingChars="100" w:hanging="218"/>
      </w:pPr>
      <w:r w:rsidRPr="000611E6">
        <w:rPr>
          <w:rFonts w:hint="eastAsia"/>
        </w:rPr>
        <w:t>１　意見総数　　１件（１人）</w:t>
      </w:r>
    </w:p>
    <w:p w:rsidR="000611E6" w:rsidRPr="000611E6" w:rsidRDefault="000611E6" w:rsidP="000611E6">
      <w:pPr>
        <w:ind w:left="218" w:hangingChars="100" w:hanging="218"/>
      </w:pPr>
      <w:r w:rsidRPr="000611E6">
        <w:rPr>
          <w:rFonts w:hint="eastAsia"/>
        </w:rPr>
        <w:t>２　いただいた御意見（要旨）とそれに対する市の考え方</w:t>
      </w:r>
    </w:p>
    <w:p w:rsidR="000611E6" w:rsidRPr="000611E6" w:rsidRDefault="000611E6" w:rsidP="000611E6">
      <w:pPr>
        <w:ind w:leftChars="100" w:left="436" w:hangingChars="100" w:hanging="218"/>
      </w:pPr>
      <w:r w:rsidRPr="000611E6">
        <w:rPr>
          <w:rFonts w:hint="eastAsia"/>
        </w:rPr>
        <w:t>・提出いただいた御意見は、趣旨を変えない範囲内で、簡略化または文言等の調整をしています。</w:t>
      </w:r>
    </w:p>
    <w:p w:rsidR="000611E6" w:rsidRPr="000611E6" w:rsidRDefault="000611E6" w:rsidP="000611E6">
      <w:pPr>
        <w:ind w:leftChars="100" w:left="436" w:hangingChars="100" w:hanging="218"/>
      </w:pPr>
      <w:r w:rsidRPr="000611E6">
        <w:rPr>
          <w:rFonts w:hint="eastAsia"/>
        </w:rPr>
        <w:t>・一人の御意見で複数項目ある場合は、項目毎の回答としています。</w:t>
      </w:r>
    </w:p>
    <w:p w:rsidR="000611E6" w:rsidRPr="000611E6" w:rsidRDefault="000611E6" w:rsidP="000611E6">
      <w:pPr>
        <w:ind w:leftChars="100" w:left="436" w:hangingChars="100" w:hanging="218"/>
      </w:pPr>
      <w:r w:rsidRPr="000611E6">
        <w:rPr>
          <w:rFonts w:hint="eastAsia"/>
        </w:rPr>
        <w:t>・一部変更（案）の内容に直接関連しない御意見は掲載していません。</w:t>
      </w:r>
    </w:p>
    <w:tbl>
      <w:tblPr>
        <w:tblStyle w:val="a3"/>
        <w:tblW w:w="0" w:type="auto"/>
        <w:tblInd w:w="534" w:type="dxa"/>
        <w:tblLook w:val="04A0" w:firstRow="1" w:lastRow="0" w:firstColumn="1" w:lastColumn="0" w:noHBand="0" w:noVBand="1"/>
      </w:tblPr>
      <w:tblGrid>
        <w:gridCol w:w="437"/>
        <w:gridCol w:w="6869"/>
        <w:gridCol w:w="6869"/>
      </w:tblGrid>
      <w:tr w:rsidR="000611E6" w:rsidRPr="000611E6" w:rsidTr="00873988">
        <w:trPr>
          <w:trHeight w:val="340"/>
        </w:trPr>
        <w:tc>
          <w:tcPr>
            <w:tcW w:w="437" w:type="dxa"/>
            <w:shd w:val="clear" w:color="auto" w:fill="DAEEF3" w:themeFill="accent5" w:themeFillTint="33"/>
            <w:vAlign w:val="center"/>
          </w:tcPr>
          <w:p w:rsidR="000611E6" w:rsidRPr="000611E6" w:rsidRDefault="000611E6" w:rsidP="00873988">
            <w:pPr>
              <w:spacing w:line="240" w:lineRule="exact"/>
              <w:jc w:val="center"/>
              <w:rPr>
                <w:rFonts w:asciiTheme="minorEastAsia" w:hAnsiTheme="minorEastAsia" w:cs="Meiryo UI"/>
                <w:szCs w:val="21"/>
              </w:rPr>
            </w:pPr>
            <w:r w:rsidRPr="000611E6">
              <w:rPr>
                <w:rFonts w:asciiTheme="minorEastAsia" w:hAnsiTheme="minorEastAsia" w:cs="Meiryo UI" w:hint="eastAsia"/>
                <w:szCs w:val="21"/>
              </w:rPr>
              <w:t>№</w:t>
            </w:r>
          </w:p>
        </w:tc>
        <w:tc>
          <w:tcPr>
            <w:tcW w:w="6869" w:type="dxa"/>
            <w:shd w:val="clear" w:color="auto" w:fill="DAEEF3" w:themeFill="accent5" w:themeFillTint="33"/>
            <w:vAlign w:val="center"/>
          </w:tcPr>
          <w:p w:rsidR="000611E6" w:rsidRPr="000611E6" w:rsidRDefault="000611E6" w:rsidP="00873988">
            <w:pPr>
              <w:spacing w:line="240" w:lineRule="exact"/>
              <w:jc w:val="center"/>
              <w:rPr>
                <w:rFonts w:asciiTheme="minorEastAsia" w:hAnsiTheme="minorEastAsia" w:cs="Meiryo UI"/>
                <w:szCs w:val="21"/>
              </w:rPr>
            </w:pPr>
            <w:r w:rsidRPr="000611E6">
              <w:rPr>
                <w:rFonts w:asciiTheme="minorEastAsia" w:hAnsiTheme="minorEastAsia" w:cs="Meiryo UI" w:hint="eastAsia"/>
                <w:szCs w:val="21"/>
              </w:rPr>
              <w:t>意見項目（要旨）</w:t>
            </w:r>
          </w:p>
        </w:tc>
        <w:tc>
          <w:tcPr>
            <w:tcW w:w="6869" w:type="dxa"/>
            <w:shd w:val="clear" w:color="auto" w:fill="DAEEF3" w:themeFill="accent5" w:themeFillTint="33"/>
            <w:vAlign w:val="center"/>
          </w:tcPr>
          <w:p w:rsidR="000611E6" w:rsidRPr="000611E6" w:rsidRDefault="000611E6" w:rsidP="00873988">
            <w:pPr>
              <w:spacing w:line="240" w:lineRule="exact"/>
              <w:jc w:val="center"/>
              <w:rPr>
                <w:rFonts w:asciiTheme="minorEastAsia" w:hAnsiTheme="minorEastAsia" w:cs="Meiryo UI"/>
                <w:szCs w:val="21"/>
              </w:rPr>
            </w:pPr>
            <w:r w:rsidRPr="000611E6">
              <w:rPr>
                <w:rFonts w:asciiTheme="minorEastAsia" w:hAnsiTheme="minorEastAsia" w:cs="Meiryo UI" w:hint="eastAsia"/>
                <w:szCs w:val="21"/>
              </w:rPr>
              <w:t>市の考え方</w:t>
            </w:r>
          </w:p>
        </w:tc>
      </w:tr>
      <w:tr w:rsidR="000611E6" w:rsidRPr="000611E6" w:rsidTr="00873988">
        <w:trPr>
          <w:trHeight w:val="3700"/>
        </w:trPr>
        <w:tc>
          <w:tcPr>
            <w:tcW w:w="437" w:type="dxa"/>
            <w:vAlign w:val="center"/>
          </w:tcPr>
          <w:p w:rsidR="000611E6" w:rsidRPr="000611E6" w:rsidRDefault="000611E6" w:rsidP="00873988">
            <w:pPr>
              <w:spacing w:line="240" w:lineRule="exact"/>
              <w:jc w:val="center"/>
              <w:rPr>
                <w:rFonts w:asciiTheme="minorEastAsia" w:hAnsiTheme="minorEastAsia" w:cs="Meiryo UI"/>
                <w:sz w:val="20"/>
                <w:szCs w:val="20"/>
              </w:rPr>
            </w:pPr>
            <w:r w:rsidRPr="000611E6">
              <w:rPr>
                <w:rFonts w:asciiTheme="minorEastAsia" w:hAnsiTheme="minorEastAsia" w:cs="Meiryo UI" w:hint="eastAsia"/>
                <w:sz w:val="20"/>
                <w:szCs w:val="20"/>
              </w:rPr>
              <w:t>１</w:t>
            </w:r>
          </w:p>
        </w:tc>
        <w:tc>
          <w:tcPr>
            <w:tcW w:w="6869" w:type="dxa"/>
          </w:tcPr>
          <w:p w:rsidR="000611E6" w:rsidRPr="000611E6" w:rsidRDefault="000611E6" w:rsidP="00873988">
            <w:pPr>
              <w:spacing w:line="240" w:lineRule="exact"/>
              <w:ind w:left="208" w:hangingChars="100" w:hanging="208"/>
              <w:rPr>
                <w:rFonts w:asciiTheme="minorEastAsia" w:hAnsiTheme="minorEastAsia" w:cs="Meiryo UI"/>
                <w:sz w:val="20"/>
                <w:szCs w:val="20"/>
              </w:rPr>
            </w:pPr>
            <w:r w:rsidRPr="000611E6">
              <w:rPr>
                <w:rFonts w:asciiTheme="minorEastAsia" w:hAnsiTheme="minorEastAsia" w:cs="Meiryo UI" w:hint="eastAsia"/>
                <w:sz w:val="20"/>
                <w:szCs w:val="20"/>
              </w:rPr>
              <w:t>・平成２９年度市民税・県民税特別徴収額の決定･変更通知書（特別徴収義務者用）に、個人番号を記載しないことを求める。</w:t>
            </w:r>
          </w:p>
          <w:p w:rsidR="000611E6" w:rsidRPr="000611E6" w:rsidRDefault="000611E6" w:rsidP="00873988">
            <w:pPr>
              <w:spacing w:line="240" w:lineRule="exact"/>
              <w:ind w:left="208" w:hangingChars="100" w:hanging="208"/>
              <w:rPr>
                <w:rFonts w:asciiTheme="minorEastAsia" w:hAnsiTheme="minorEastAsia" w:cs="Meiryo UI"/>
                <w:sz w:val="20"/>
                <w:szCs w:val="20"/>
              </w:rPr>
            </w:pPr>
          </w:p>
          <w:p w:rsidR="000611E6" w:rsidRPr="000611E6" w:rsidRDefault="000611E6" w:rsidP="00873988">
            <w:pPr>
              <w:spacing w:line="240" w:lineRule="exact"/>
              <w:ind w:left="208" w:hangingChars="100" w:hanging="208"/>
              <w:rPr>
                <w:rFonts w:asciiTheme="minorEastAsia" w:hAnsiTheme="minorEastAsia" w:cs="Meiryo UI"/>
                <w:sz w:val="20"/>
                <w:szCs w:val="20"/>
              </w:rPr>
            </w:pPr>
          </w:p>
          <w:p w:rsidR="000611E6" w:rsidRPr="000611E6" w:rsidRDefault="000611E6" w:rsidP="00873988">
            <w:pPr>
              <w:spacing w:line="240" w:lineRule="exact"/>
              <w:ind w:left="208" w:hangingChars="100" w:hanging="208"/>
              <w:rPr>
                <w:rFonts w:asciiTheme="minorEastAsia" w:hAnsiTheme="minorEastAsia" w:cs="Meiryo UI"/>
                <w:sz w:val="20"/>
                <w:szCs w:val="20"/>
              </w:rPr>
            </w:pPr>
          </w:p>
          <w:p w:rsidR="000611E6" w:rsidRPr="000611E6" w:rsidRDefault="000611E6" w:rsidP="00873988">
            <w:pPr>
              <w:spacing w:line="240" w:lineRule="exact"/>
              <w:ind w:left="208" w:hangingChars="100" w:hanging="208"/>
              <w:rPr>
                <w:rFonts w:asciiTheme="minorEastAsia" w:hAnsiTheme="minorEastAsia" w:cs="Meiryo UI"/>
                <w:sz w:val="20"/>
                <w:szCs w:val="20"/>
              </w:rPr>
            </w:pPr>
          </w:p>
          <w:p w:rsidR="000611E6" w:rsidRPr="000611E6" w:rsidRDefault="000611E6" w:rsidP="00873988">
            <w:pPr>
              <w:spacing w:line="240" w:lineRule="exact"/>
              <w:ind w:left="208" w:hangingChars="100" w:hanging="208"/>
              <w:rPr>
                <w:rFonts w:asciiTheme="minorEastAsia" w:hAnsiTheme="minorEastAsia" w:cs="Meiryo UI"/>
                <w:sz w:val="20"/>
                <w:szCs w:val="20"/>
              </w:rPr>
            </w:pPr>
          </w:p>
          <w:p w:rsidR="000611E6" w:rsidRPr="000611E6" w:rsidRDefault="000611E6" w:rsidP="00873988">
            <w:pPr>
              <w:spacing w:line="240" w:lineRule="exact"/>
              <w:ind w:left="208" w:hangingChars="100" w:hanging="208"/>
              <w:rPr>
                <w:rFonts w:asciiTheme="minorEastAsia" w:hAnsiTheme="minorEastAsia" w:cs="Meiryo UI"/>
                <w:sz w:val="20"/>
                <w:szCs w:val="20"/>
              </w:rPr>
            </w:pPr>
          </w:p>
          <w:p w:rsidR="000611E6" w:rsidRPr="000611E6" w:rsidRDefault="000611E6" w:rsidP="00873988">
            <w:pPr>
              <w:spacing w:line="240" w:lineRule="exact"/>
              <w:ind w:left="208" w:hangingChars="100" w:hanging="208"/>
              <w:rPr>
                <w:rFonts w:asciiTheme="minorEastAsia" w:hAnsiTheme="minorEastAsia" w:cs="Meiryo UI"/>
                <w:sz w:val="20"/>
                <w:szCs w:val="20"/>
              </w:rPr>
            </w:pPr>
          </w:p>
          <w:p w:rsidR="000611E6" w:rsidRPr="000611E6" w:rsidRDefault="000611E6" w:rsidP="00873988">
            <w:pPr>
              <w:spacing w:line="240" w:lineRule="exact"/>
              <w:ind w:left="208" w:hangingChars="100" w:hanging="208"/>
              <w:rPr>
                <w:rFonts w:asciiTheme="minorEastAsia" w:hAnsiTheme="minorEastAsia" w:cs="Meiryo UI"/>
                <w:sz w:val="20"/>
                <w:szCs w:val="20"/>
              </w:rPr>
            </w:pPr>
          </w:p>
          <w:p w:rsidR="000611E6" w:rsidRPr="000611E6" w:rsidRDefault="000611E6" w:rsidP="00873988">
            <w:pPr>
              <w:spacing w:line="240" w:lineRule="exact"/>
              <w:ind w:left="208" w:hangingChars="100" w:hanging="208"/>
              <w:rPr>
                <w:rFonts w:asciiTheme="minorEastAsia" w:hAnsiTheme="minorEastAsia" w:cs="Meiryo UI"/>
                <w:sz w:val="20"/>
                <w:szCs w:val="20"/>
              </w:rPr>
            </w:pPr>
            <w:r w:rsidRPr="000611E6">
              <w:rPr>
                <w:rFonts w:asciiTheme="minorEastAsia" w:hAnsiTheme="minorEastAsia" w:cs="Meiryo UI" w:hint="eastAsia"/>
                <w:sz w:val="20"/>
                <w:szCs w:val="20"/>
              </w:rPr>
              <w:t>・地方税法施行規則等の一部を改正する省令の第３号様式変更の撤回を政府、総務省に申し入れることを希望する。</w:t>
            </w:r>
          </w:p>
        </w:tc>
        <w:tc>
          <w:tcPr>
            <w:tcW w:w="6869" w:type="dxa"/>
          </w:tcPr>
          <w:p w:rsidR="000611E6" w:rsidRPr="000611E6" w:rsidRDefault="000611E6" w:rsidP="00873988">
            <w:pPr>
              <w:spacing w:line="240" w:lineRule="exact"/>
              <w:ind w:left="208" w:hangingChars="100" w:hanging="208"/>
              <w:rPr>
                <w:rFonts w:asciiTheme="minorEastAsia" w:hAnsiTheme="minorEastAsia" w:cs="Meiryo UI"/>
                <w:sz w:val="20"/>
                <w:szCs w:val="20"/>
              </w:rPr>
            </w:pPr>
            <w:r w:rsidRPr="000611E6">
              <w:rPr>
                <w:rFonts w:asciiTheme="minorEastAsia" w:hAnsiTheme="minorEastAsia" w:cs="Meiryo UI" w:hint="eastAsia"/>
                <w:sz w:val="20"/>
                <w:szCs w:val="20"/>
              </w:rPr>
              <w:t>・いわゆる</w:t>
            </w:r>
            <w:r w:rsidRPr="000611E6">
              <w:rPr>
                <w:rFonts w:asciiTheme="minorEastAsia" w:hAnsiTheme="minorEastAsia" w:cs="Meiryo UI"/>
                <w:sz w:val="20"/>
                <w:szCs w:val="20"/>
              </w:rPr>
              <w:t>番号法第</w:t>
            </w:r>
            <w:r w:rsidRPr="000611E6">
              <w:rPr>
                <w:rFonts w:asciiTheme="minorEastAsia" w:hAnsiTheme="minorEastAsia" w:cs="Meiryo UI" w:hint="eastAsia"/>
                <w:sz w:val="20"/>
                <w:szCs w:val="20"/>
              </w:rPr>
              <w:t>１９</w:t>
            </w:r>
            <w:r w:rsidRPr="000611E6">
              <w:rPr>
                <w:rFonts w:asciiTheme="minorEastAsia" w:hAnsiTheme="minorEastAsia" w:cs="Meiryo UI"/>
                <w:sz w:val="20"/>
                <w:szCs w:val="20"/>
              </w:rPr>
              <w:t>条</w:t>
            </w:r>
            <w:r w:rsidRPr="000611E6">
              <w:rPr>
                <w:rFonts w:asciiTheme="minorEastAsia" w:hAnsiTheme="minorEastAsia" w:cs="Meiryo UI" w:hint="eastAsia"/>
                <w:sz w:val="20"/>
                <w:szCs w:val="20"/>
              </w:rPr>
              <w:t>第１</w:t>
            </w:r>
            <w:r w:rsidRPr="000611E6">
              <w:rPr>
                <w:rFonts w:asciiTheme="minorEastAsia" w:hAnsiTheme="minorEastAsia" w:cs="Meiryo UI"/>
                <w:sz w:val="20"/>
                <w:szCs w:val="20"/>
              </w:rPr>
              <w:t>号の規定により、個人番号利用事務実施者は、個人番号利用事務を処理するために必要な限度で本人若しくはその代理人又は個人番号関係事務実施者に対し特定個人情報を提供することができます。この規定に基づき、特別徴収に関する事務において個人番号利用事務実施者である市区町村は，地方税法第</w:t>
            </w:r>
            <w:r w:rsidRPr="000611E6">
              <w:rPr>
                <w:rFonts w:asciiTheme="minorEastAsia" w:hAnsiTheme="minorEastAsia" w:cs="Meiryo UI" w:hint="eastAsia"/>
                <w:sz w:val="20"/>
                <w:szCs w:val="20"/>
              </w:rPr>
              <w:t>３２１</w:t>
            </w:r>
            <w:r w:rsidRPr="000611E6">
              <w:rPr>
                <w:rFonts w:asciiTheme="minorEastAsia" w:hAnsiTheme="minorEastAsia" w:cs="Meiryo UI"/>
                <w:sz w:val="20"/>
                <w:szCs w:val="20"/>
              </w:rPr>
              <w:t>条の</w:t>
            </w:r>
            <w:r w:rsidRPr="000611E6">
              <w:rPr>
                <w:rFonts w:asciiTheme="minorEastAsia" w:hAnsiTheme="minorEastAsia" w:cs="Meiryo UI" w:hint="eastAsia"/>
                <w:sz w:val="20"/>
                <w:szCs w:val="20"/>
              </w:rPr>
              <w:t>４</w:t>
            </w:r>
            <w:r w:rsidRPr="000611E6">
              <w:rPr>
                <w:rFonts w:asciiTheme="minorEastAsia" w:hAnsiTheme="minorEastAsia" w:cs="Meiryo UI"/>
                <w:sz w:val="20"/>
                <w:szCs w:val="20"/>
              </w:rPr>
              <w:t>第</w:t>
            </w:r>
            <w:r w:rsidRPr="000611E6">
              <w:rPr>
                <w:rFonts w:asciiTheme="minorEastAsia" w:hAnsiTheme="minorEastAsia" w:cs="Meiryo UI" w:hint="eastAsia"/>
                <w:sz w:val="20"/>
                <w:szCs w:val="20"/>
              </w:rPr>
              <w:t>１</w:t>
            </w:r>
            <w:r w:rsidRPr="000611E6">
              <w:rPr>
                <w:rFonts w:asciiTheme="minorEastAsia" w:hAnsiTheme="minorEastAsia" w:cs="Meiryo UI"/>
                <w:sz w:val="20"/>
                <w:szCs w:val="20"/>
              </w:rPr>
              <w:t>項の規定及び地方税法施行規則第</w:t>
            </w:r>
            <w:r w:rsidRPr="000611E6">
              <w:rPr>
                <w:rFonts w:asciiTheme="minorEastAsia" w:hAnsiTheme="minorEastAsia" w:cs="Meiryo UI" w:hint="eastAsia"/>
                <w:sz w:val="20"/>
                <w:szCs w:val="20"/>
              </w:rPr>
              <w:t>３</w:t>
            </w:r>
            <w:r w:rsidRPr="000611E6">
              <w:rPr>
                <w:rFonts w:asciiTheme="minorEastAsia" w:hAnsiTheme="minorEastAsia" w:cs="Meiryo UI"/>
                <w:sz w:val="20"/>
                <w:szCs w:val="20"/>
              </w:rPr>
              <w:t>号様式により、個人番号関係事務実施者である特別徴収義務者に対して、従業員の個人番号を記載した特別徴収税額</w:t>
            </w:r>
            <w:r w:rsidRPr="000611E6">
              <w:rPr>
                <w:rFonts w:asciiTheme="minorEastAsia" w:hAnsiTheme="minorEastAsia" w:cs="Meiryo UI" w:hint="eastAsia"/>
                <w:sz w:val="20"/>
                <w:szCs w:val="20"/>
              </w:rPr>
              <w:t>の決定・変更</w:t>
            </w:r>
            <w:r w:rsidRPr="000611E6">
              <w:rPr>
                <w:rFonts w:asciiTheme="minorEastAsia" w:hAnsiTheme="minorEastAsia" w:cs="Meiryo UI"/>
                <w:sz w:val="20"/>
                <w:szCs w:val="20"/>
              </w:rPr>
              <w:t>通知</w:t>
            </w:r>
            <w:r w:rsidRPr="000611E6">
              <w:rPr>
                <w:rFonts w:asciiTheme="minorEastAsia" w:hAnsiTheme="minorEastAsia" w:cs="Meiryo UI" w:hint="eastAsia"/>
                <w:sz w:val="20"/>
                <w:szCs w:val="20"/>
              </w:rPr>
              <w:t>書</w:t>
            </w:r>
            <w:r w:rsidRPr="000611E6">
              <w:rPr>
                <w:rFonts w:asciiTheme="minorEastAsia" w:hAnsiTheme="minorEastAsia" w:cs="Meiryo UI"/>
                <w:sz w:val="20"/>
                <w:szCs w:val="20"/>
              </w:rPr>
              <w:t>を送付することになります。</w:t>
            </w:r>
          </w:p>
          <w:p w:rsidR="000611E6" w:rsidRPr="000611E6" w:rsidRDefault="000611E6" w:rsidP="00873988">
            <w:pPr>
              <w:spacing w:line="240" w:lineRule="exact"/>
              <w:ind w:left="208" w:hangingChars="100" w:hanging="208"/>
              <w:rPr>
                <w:rFonts w:asciiTheme="minorEastAsia" w:hAnsiTheme="minorEastAsia" w:cs="Meiryo UI"/>
                <w:sz w:val="20"/>
                <w:szCs w:val="20"/>
              </w:rPr>
            </w:pPr>
          </w:p>
          <w:p w:rsidR="000611E6" w:rsidRPr="000611E6" w:rsidRDefault="000611E6" w:rsidP="00873988">
            <w:pPr>
              <w:spacing w:line="240" w:lineRule="exact"/>
              <w:ind w:left="208" w:hangingChars="100" w:hanging="208"/>
              <w:rPr>
                <w:rFonts w:asciiTheme="minorEastAsia" w:hAnsiTheme="minorEastAsia" w:cs="Meiryo UI"/>
                <w:sz w:val="20"/>
                <w:szCs w:val="20"/>
              </w:rPr>
            </w:pPr>
            <w:r w:rsidRPr="000611E6">
              <w:rPr>
                <w:rFonts w:asciiTheme="minorEastAsia" w:hAnsiTheme="minorEastAsia" w:cs="Meiryo UI" w:hint="eastAsia"/>
                <w:sz w:val="20"/>
                <w:szCs w:val="20"/>
              </w:rPr>
              <w:t>・マイナンバー制度は、行政の効率化、国民の利便性の向上、公平・公正な社会の実現を目指す上での社会基盤となるものでありますことから、国に対して、地方税法施行規則等の一部を改正する省令の第</w:t>
            </w:r>
            <w:r w:rsidR="008C2D59">
              <w:rPr>
                <w:rFonts w:asciiTheme="minorEastAsia" w:hAnsiTheme="minorEastAsia" w:cs="Meiryo UI" w:hint="eastAsia"/>
                <w:sz w:val="20"/>
                <w:szCs w:val="20"/>
              </w:rPr>
              <w:t>３</w:t>
            </w:r>
            <w:r w:rsidRPr="000611E6">
              <w:rPr>
                <w:rFonts w:asciiTheme="minorEastAsia" w:hAnsiTheme="minorEastAsia" w:cs="Meiryo UI" w:hint="eastAsia"/>
                <w:sz w:val="20"/>
                <w:szCs w:val="20"/>
              </w:rPr>
              <w:t>号様式変更の撤回を求める考えはございません。</w:t>
            </w:r>
          </w:p>
          <w:p w:rsidR="000611E6" w:rsidRPr="000611E6" w:rsidRDefault="000611E6" w:rsidP="00873988">
            <w:pPr>
              <w:spacing w:line="240" w:lineRule="exact"/>
              <w:ind w:firstLineChars="100" w:firstLine="208"/>
              <w:rPr>
                <w:rFonts w:asciiTheme="minorEastAsia" w:hAnsiTheme="minorEastAsia" w:cs="Meiryo UI"/>
                <w:sz w:val="20"/>
                <w:szCs w:val="20"/>
              </w:rPr>
            </w:pPr>
            <w:r w:rsidRPr="000611E6">
              <w:rPr>
                <w:rFonts w:asciiTheme="minorEastAsia" w:hAnsiTheme="minorEastAsia" w:cs="Meiryo UI" w:hint="eastAsia"/>
                <w:sz w:val="20"/>
                <w:szCs w:val="20"/>
              </w:rPr>
              <w:t>御理解を賜りたいと存じます。</w:t>
            </w:r>
          </w:p>
        </w:tc>
      </w:tr>
    </w:tbl>
    <w:p w:rsidR="000611E6" w:rsidRPr="000611E6" w:rsidRDefault="000611E6" w:rsidP="000611E6">
      <w:pPr>
        <w:ind w:firstLineChars="100" w:firstLine="218"/>
      </w:pPr>
    </w:p>
    <w:p w:rsidR="000611E6" w:rsidRPr="000611E6" w:rsidRDefault="000611E6" w:rsidP="005A60FD">
      <w:pPr>
        <w:ind w:firstLineChars="100" w:firstLine="248"/>
        <w:rPr>
          <w:rFonts w:ascii="Meiryo UI" w:eastAsia="Meiryo UI" w:hAnsi="Meiryo UI" w:cs="Meiryo UI"/>
          <w:b/>
          <w:sz w:val="24"/>
          <w:szCs w:val="24"/>
        </w:rPr>
      </w:pPr>
    </w:p>
    <w:sectPr w:rsidR="000611E6" w:rsidRPr="000611E6" w:rsidSect="001F5530">
      <w:pgSz w:w="16838" w:h="11906" w:orient="landscape" w:code="9"/>
      <w:pgMar w:top="1134" w:right="1134" w:bottom="1134" w:left="1134" w:header="851" w:footer="992" w:gutter="0"/>
      <w:cols w:space="425"/>
      <w:docGrid w:type="linesAndChars" w:linePitch="404" w:charSpace="16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EEB" w:rsidRDefault="00D60EEB" w:rsidP="00D60EEB">
      <w:r>
        <w:separator/>
      </w:r>
    </w:p>
  </w:endnote>
  <w:endnote w:type="continuationSeparator" w:id="0">
    <w:p w:rsidR="00D60EEB" w:rsidRDefault="00D60EEB" w:rsidP="00D60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EEB" w:rsidRDefault="00D60EEB" w:rsidP="00D60EEB">
      <w:r>
        <w:separator/>
      </w:r>
    </w:p>
  </w:footnote>
  <w:footnote w:type="continuationSeparator" w:id="0">
    <w:p w:rsidR="00D60EEB" w:rsidRDefault="00D60EEB" w:rsidP="00D60E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9"/>
  <w:drawingGridVerticalSpacing w:val="202"/>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486"/>
    <w:rsid w:val="000250E5"/>
    <w:rsid w:val="000611E6"/>
    <w:rsid w:val="000C1774"/>
    <w:rsid w:val="001F5530"/>
    <w:rsid w:val="00396CA8"/>
    <w:rsid w:val="003D089C"/>
    <w:rsid w:val="004273D0"/>
    <w:rsid w:val="00464434"/>
    <w:rsid w:val="00464A1B"/>
    <w:rsid w:val="00533486"/>
    <w:rsid w:val="005A60FD"/>
    <w:rsid w:val="007C6840"/>
    <w:rsid w:val="008C2D59"/>
    <w:rsid w:val="008C7260"/>
    <w:rsid w:val="00976D43"/>
    <w:rsid w:val="009C2506"/>
    <w:rsid w:val="00C27DB8"/>
    <w:rsid w:val="00D60EEB"/>
    <w:rsid w:val="00E75C46"/>
    <w:rsid w:val="00EE4B95"/>
    <w:rsid w:val="00FD15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7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60EEB"/>
    <w:pPr>
      <w:tabs>
        <w:tab w:val="center" w:pos="4252"/>
        <w:tab w:val="right" w:pos="8504"/>
      </w:tabs>
      <w:snapToGrid w:val="0"/>
    </w:pPr>
  </w:style>
  <w:style w:type="character" w:customStyle="1" w:styleId="a5">
    <w:name w:val="ヘッダー (文字)"/>
    <w:basedOn w:val="a0"/>
    <w:link w:val="a4"/>
    <w:uiPriority w:val="99"/>
    <w:rsid w:val="00D60EEB"/>
  </w:style>
  <w:style w:type="paragraph" w:styleId="a6">
    <w:name w:val="footer"/>
    <w:basedOn w:val="a"/>
    <w:link w:val="a7"/>
    <w:uiPriority w:val="99"/>
    <w:unhideWhenUsed/>
    <w:rsid w:val="00D60EEB"/>
    <w:pPr>
      <w:tabs>
        <w:tab w:val="center" w:pos="4252"/>
        <w:tab w:val="right" w:pos="8504"/>
      </w:tabs>
      <w:snapToGrid w:val="0"/>
    </w:pPr>
  </w:style>
  <w:style w:type="character" w:customStyle="1" w:styleId="a7">
    <w:name w:val="フッター (文字)"/>
    <w:basedOn w:val="a0"/>
    <w:link w:val="a6"/>
    <w:uiPriority w:val="99"/>
    <w:rsid w:val="00D60E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7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60EEB"/>
    <w:pPr>
      <w:tabs>
        <w:tab w:val="center" w:pos="4252"/>
        <w:tab w:val="right" w:pos="8504"/>
      </w:tabs>
      <w:snapToGrid w:val="0"/>
    </w:pPr>
  </w:style>
  <w:style w:type="character" w:customStyle="1" w:styleId="a5">
    <w:name w:val="ヘッダー (文字)"/>
    <w:basedOn w:val="a0"/>
    <w:link w:val="a4"/>
    <w:uiPriority w:val="99"/>
    <w:rsid w:val="00D60EEB"/>
  </w:style>
  <w:style w:type="paragraph" w:styleId="a6">
    <w:name w:val="footer"/>
    <w:basedOn w:val="a"/>
    <w:link w:val="a7"/>
    <w:uiPriority w:val="99"/>
    <w:unhideWhenUsed/>
    <w:rsid w:val="00D60EEB"/>
    <w:pPr>
      <w:tabs>
        <w:tab w:val="center" w:pos="4252"/>
        <w:tab w:val="right" w:pos="8504"/>
      </w:tabs>
      <w:snapToGrid w:val="0"/>
    </w:pPr>
  </w:style>
  <w:style w:type="character" w:customStyle="1" w:styleId="a7">
    <w:name w:val="フッター (文字)"/>
    <w:basedOn w:val="a0"/>
    <w:link w:val="a6"/>
    <w:uiPriority w:val="99"/>
    <w:rsid w:val="00D60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1</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 耕司</dc:creator>
  <cp:keywords/>
  <dc:description/>
  <cp:lastModifiedBy>太田 耕司</cp:lastModifiedBy>
  <cp:revision>12</cp:revision>
  <cp:lastPrinted>2017-03-29T23:53:00Z</cp:lastPrinted>
  <dcterms:created xsi:type="dcterms:W3CDTF">2017-03-09T02:58:00Z</dcterms:created>
  <dcterms:modified xsi:type="dcterms:W3CDTF">2017-03-30T00:02:00Z</dcterms:modified>
</cp:coreProperties>
</file>