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47" w:rsidRDefault="00176854" w:rsidP="0015064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03523B">
        <w:rPr>
          <w:rFonts w:ascii="ＭＳ ゴシック" w:eastAsia="ＭＳ ゴシック" w:hAnsi="ＭＳ ゴシック" w:hint="eastAsia"/>
        </w:rPr>
        <w:t>様式第８</w:t>
      </w:r>
      <w:r w:rsidR="0015064B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）</w:t>
      </w:r>
    </w:p>
    <w:p w:rsidR="00AF0447" w:rsidRPr="00176854" w:rsidRDefault="0015064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76854">
        <w:rPr>
          <w:rFonts w:ascii="ＭＳ ゴシック" w:eastAsia="ＭＳ ゴシック" w:hAnsi="ＭＳ ゴシック" w:hint="eastAsia"/>
          <w:b/>
          <w:sz w:val="40"/>
          <w:szCs w:val="40"/>
        </w:rPr>
        <w:t>提案書</w:t>
      </w:r>
    </w:p>
    <w:p w:rsidR="00142112" w:rsidRDefault="00142112" w:rsidP="00142112">
      <w:pPr>
        <w:rPr>
          <w:rFonts w:ascii="ＭＳ ゴシック" w:eastAsia="ＭＳ ゴシック" w:hAnsi="ＭＳ ゴシック"/>
        </w:rPr>
      </w:pPr>
    </w:p>
    <w:p w:rsidR="0083770E" w:rsidRDefault="0083770E" w:rsidP="0083770E">
      <w:pPr>
        <w:ind w:firstLineChars="100" w:firstLine="20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各項目の内容を記載してください(必要に応じて、記載する行数を増やしてください。)。</w:t>
      </w:r>
    </w:p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6B5C" w:rsidTr="00142112">
        <w:tc>
          <w:tcPr>
            <w:tcW w:w="9836" w:type="dxa"/>
            <w:shd w:val="clear" w:color="auto" w:fill="D9D9D9" w:themeFill="background1" w:themeFillShade="D9"/>
          </w:tcPr>
          <w:p w:rsidR="00DF6B5C" w:rsidRPr="0003523B" w:rsidRDefault="00DF6B5C" w:rsidP="00DF6B5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１　</w:t>
            </w:r>
            <w:r w:rsidR="0003523B"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高松市塩江道の駅エリア基本計画策定業務に対する考え方</w:t>
            </w: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DF6B5C" w:rsidTr="00DF6B5C">
        <w:tc>
          <w:tcPr>
            <w:tcW w:w="9836" w:type="dxa"/>
          </w:tcPr>
          <w:p w:rsidR="0003523B" w:rsidRPr="0003523B" w:rsidRDefault="0003523B" w:rsidP="00AE69FC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本業務全体に対する考え方について提案してください。特に、以下の点に留意し、記載してください。</w:t>
            </w:r>
          </w:p>
          <w:p w:rsidR="0003523B" w:rsidRPr="0003523B" w:rsidRDefault="00AE69FC" w:rsidP="00AE69F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（１）　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委託業務の背景・目的を適切に理解し、本市の方針に即した方向性とすること。</w:t>
            </w:r>
          </w:p>
          <w:p w:rsidR="00AE69FC" w:rsidRDefault="00AE69FC" w:rsidP="00AE69FC">
            <w:pPr>
              <w:ind w:left="191" w:hangingChars="100" w:hanging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（２）　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塩江温泉郷らしさ（歴史ある温泉郷であり、国民保養温泉地に指定されている塩江温泉郷）のポテン</w:t>
            </w:r>
          </w:p>
          <w:p w:rsidR="0003523B" w:rsidRPr="0003523B" w:rsidRDefault="0003523B" w:rsidP="00AE69FC">
            <w:pPr>
              <w:ind w:leftChars="100" w:left="221" w:firstLineChars="200" w:firstLine="38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シャルを踏まえること。</w:t>
            </w:r>
          </w:p>
          <w:p w:rsidR="00DF6B5C" w:rsidRPr="00DF6B5C" w:rsidRDefault="00AE69FC" w:rsidP="00AE69FC">
            <w:pPr>
              <w:ind w:left="572" w:hangingChars="300" w:hanging="572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（３）　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単</w:t>
            </w:r>
            <w:r w:rsidR="0003523B" w:rsidRPr="00785B67">
              <w:rPr>
                <w:rFonts w:asciiTheme="majorEastAsia" w:eastAsiaTheme="majorEastAsia" w:hAnsiTheme="majorEastAsia" w:hint="eastAsia"/>
                <w:sz w:val="21"/>
                <w:szCs w:val="21"/>
              </w:rPr>
              <w:t>に</w:t>
            </w:r>
            <w:r w:rsidR="00785B67" w:rsidRPr="00785B67">
              <w:rPr>
                <w:rFonts w:asciiTheme="majorEastAsia" w:eastAsiaTheme="majorEastAsia" w:hAnsiTheme="majorEastAsia" w:hint="eastAsia"/>
                <w:sz w:val="21"/>
                <w:szCs w:val="21"/>
              </w:rPr>
              <w:t>道の駅・医療・温浴</w:t>
            </w:r>
            <w:r w:rsidR="00785B67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  <w:r w:rsidR="0003523B" w:rsidRPr="00785B67">
              <w:rPr>
                <w:rFonts w:asciiTheme="majorEastAsia" w:eastAsiaTheme="majorEastAsia" w:hAnsiTheme="majorEastAsia" w:hint="eastAsia"/>
                <w:sz w:val="21"/>
                <w:szCs w:val="21"/>
              </w:rPr>
              <w:t>の施設計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画ではなく、将来の塩江を見据えた持続可能なまちづくりの拠点とすること。</w:t>
            </w:r>
          </w:p>
        </w:tc>
      </w:tr>
    </w:tbl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P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0574F" w:rsidTr="001E2AB8">
        <w:tc>
          <w:tcPr>
            <w:tcW w:w="9836" w:type="dxa"/>
            <w:shd w:val="clear" w:color="auto" w:fill="D9D9D9" w:themeFill="background1" w:themeFillShade="D9"/>
          </w:tcPr>
          <w:p w:rsidR="00D0574F" w:rsidRPr="0003523B" w:rsidRDefault="00D0574F" w:rsidP="001E2AB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 xml:space="preserve">２　</w:t>
            </w:r>
            <w:r w:rsidR="0003523B"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高松市塩江道の駅エリア基本計画策定業務における</w:t>
            </w:r>
            <w:r w:rsidR="00AE69F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取組手法や整備</w:t>
            </w:r>
            <w:r w:rsidR="0003523B"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方針</w:t>
            </w:r>
          </w:p>
        </w:tc>
      </w:tr>
      <w:tr w:rsidR="00D0574F" w:rsidTr="001E2AB8">
        <w:tc>
          <w:tcPr>
            <w:tcW w:w="9836" w:type="dxa"/>
          </w:tcPr>
          <w:p w:rsidR="00AE69FC" w:rsidRDefault="0003523B" w:rsidP="00AE69FC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本業務</w:t>
            </w:r>
            <w:r w:rsidRPr="0003523B">
              <w:rPr>
                <w:rFonts w:asciiTheme="majorEastAsia" w:eastAsiaTheme="majorEastAsia" w:hAnsiTheme="majorEastAsia"/>
                <w:sz w:val="21"/>
                <w:szCs w:val="21"/>
              </w:rPr>
              <w:t>を遂行するに当たって、具体的な</w:t>
            </w:r>
            <w:r w:rsidR="00AE69FC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03523B">
              <w:rPr>
                <w:rFonts w:asciiTheme="majorEastAsia" w:eastAsiaTheme="majorEastAsia" w:hAnsiTheme="majorEastAsia"/>
                <w:sz w:val="21"/>
                <w:szCs w:val="21"/>
              </w:rPr>
              <w:t>手法</w:t>
            </w:r>
            <w:r w:rsidR="00AE69FC">
              <w:rPr>
                <w:rFonts w:asciiTheme="majorEastAsia" w:eastAsiaTheme="majorEastAsia" w:hAnsiTheme="majorEastAsia" w:hint="eastAsia"/>
                <w:sz w:val="21"/>
                <w:szCs w:val="21"/>
              </w:rPr>
              <w:t>や整備</w:t>
            </w:r>
            <w:r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方針</w:t>
            </w:r>
            <w:r w:rsidRPr="0003523B">
              <w:rPr>
                <w:rFonts w:asciiTheme="majorEastAsia" w:eastAsiaTheme="majorEastAsia" w:hAnsiTheme="majorEastAsia"/>
                <w:sz w:val="21"/>
                <w:szCs w:val="21"/>
              </w:rPr>
              <w:t>など、</w:t>
            </w:r>
            <w:r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特に、以下の点に留意した提案となるよう記載してください。</w:t>
            </w:r>
          </w:p>
          <w:p w:rsidR="0003523B" w:rsidRPr="0003523B" w:rsidRDefault="00AE69FC" w:rsidP="00AE69F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（１）　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オリジナリティ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と実現性を兼ね備えた提案</w:t>
            </w:r>
          </w:p>
          <w:p w:rsidR="0003523B" w:rsidRPr="0003523B" w:rsidRDefault="00AE69FC" w:rsidP="00AE69F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（２）　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柔軟性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や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観光誘客の視点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を備えた提案</w:t>
            </w:r>
          </w:p>
          <w:p w:rsidR="0003523B" w:rsidRPr="0003523B" w:rsidRDefault="00AE69FC" w:rsidP="00AE69F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（３）　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施工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コスト削減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軽減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に配慮した提案</w:t>
            </w:r>
          </w:p>
          <w:p w:rsidR="0003523B" w:rsidRPr="0003523B" w:rsidRDefault="00AE69FC" w:rsidP="00AE69F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（４）　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管理運営コストの削減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軽減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に配慮した提案</w:t>
            </w:r>
          </w:p>
          <w:p w:rsidR="00D0574F" w:rsidRPr="00807262" w:rsidRDefault="00AE69FC" w:rsidP="00AE69FC">
            <w:pPr>
              <w:rPr>
                <w:rFonts w:asciiTheme="majorEastAsia" w:eastAsiaTheme="majorEastAsia" w:hAnsiTheme="majorEastAsia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（５）　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必要又は有効で、実施が可能な</w:t>
            </w:r>
            <w:r w:rsidR="0003523B"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提案</w:t>
            </w:r>
            <w:r w:rsidR="0003523B" w:rsidRPr="0003523B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</w:p>
        </w:tc>
      </w:tr>
    </w:tbl>
    <w:p w:rsidR="00D0574F" w:rsidRP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03523B" w:rsidRDefault="0003523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42112" w:rsidTr="00D93DB9">
        <w:tc>
          <w:tcPr>
            <w:tcW w:w="9836" w:type="dxa"/>
            <w:shd w:val="clear" w:color="auto" w:fill="D9D9D9" w:themeFill="background1" w:themeFillShade="D9"/>
          </w:tcPr>
          <w:p w:rsidR="00142112" w:rsidRPr="00DF6B5C" w:rsidRDefault="00142112" w:rsidP="00142112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３</w:t>
            </w:r>
            <w:r w:rsidRPr="001F14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実施体制</w:t>
            </w:r>
            <w:r w:rsidRPr="001F14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142112" w:rsidTr="00D93DB9">
        <w:tc>
          <w:tcPr>
            <w:tcW w:w="9836" w:type="dxa"/>
          </w:tcPr>
          <w:p w:rsidR="00142112" w:rsidRPr="0003523B" w:rsidRDefault="0003523B" w:rsidP="00AE69FC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  <w:bdr w:val="single" w:sz="4" w:space="0" w:color="auto"/>
              </w:rPr>
            </w:pPr>
            <w:r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本業務の実施体制を具体的に記載してください。</w:t>
            </w:r>
          </w:p>
        </w:tc>
      </w:tr>
    </w:tbl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3523B" w:rsidTr="00EC17C4">
        <w:tc>
          <w:tcPr>
            <w:tcW w:w="9836" w:type="dxa"/>
            <w:shd w:val="clear" w:color="auto" w:fill="D9D9D9" w:themeFill="background1" w:themeFillShade="D9"/>
          </w:tcPr>
          <w:p w:rsidR="0003523B" w:rsidRPr="0003523B" w:rsidRDefault="0003523B" w:rsidP="00EC17C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 xml:space="preserve">４　本業務のスケジュール　</w:t>
            </w:r>
          </w:p>
        </w:tc>
      </w:tr>
      <w:tr w:rsidR="0003523B" w:rsidTr="00EC17C4">
        <w:tc>
          <w:tcPr>
            <w:tcW w:w="9836" w:type="dxa"/>
          </w:tcPr>
          <w:p w:rsidR="0003523B" w:rsidRPr="0003523B" w:rsidRDefault="0003523B" w:rsidP="00AE69FC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  <w:bdr w:val="single" w:sz="4" w:space="0" w:color="auto"/>
              </w:rPr>
            </w:pPr>
            <w:bookmarkStart w:id="0" w:name="_GoBack"/>
            <w:bookmarkEnd w:id="0"/>
            <w:r w:rsidRPr="0003523B">
              <w:rPr>
                <w:rFonts w:asciiTheme="majorEastAsia" w:eastAsiaTheme="majorEastAsia" w:hAnsiTheme="majorEastAsia" w:hint="eastAsia"/>
                <w:sz w:val="21"/>
                <w:szCs w:val="21"/>
              </w:rPr>
              <w:t>本業務のスケジュールを具体的に記載してください。</w:t>
            </w:r>
          </w:p>
        </w:tc>
      </w:tr>
    </w:tbl>
    <w:p w:rsidR="00142112" w:rsidRPr="0003523B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E1247A" w:rsidRDefault="00E1247A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807262" w:rsidRDefault="0080726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42112" w:rsidTr="00D93DB9">
        <w:tc>
          <w:tcPr>
            <w:tcW w:w="9836" w:type="dxa"/>
            <w:shd w:val="clear" w:color="auto" w:fill="D9D9D9" w:themeFill="background1" w:themeFillShade="D9"/>
          </w:tcPr>
          <w:p w:rsidR="00142112" w:rsidRPr="00DF6B5C" w:rsidRDefault="0003523B" w:rsidP="00142112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lastRenderedPageBreak/>
              <w:t>５</w:t>
            </w:r>
            <w:r w:rsidR="00142112" w:rsidRPr="001F14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14211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その他（ＰＲ等）</w:t>
            </w:r>
            <w:r w:rsidR="00142112" w:rsidRPr="001F14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</w:tbl>
    <w:p w:rsidR="001F14CB" w:rsidRP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sectPr w:rsidR="001F14CB" w:rsidRPr="001F14CB" w:rsidSect="00F14442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32" w:charSpace="-3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47" w:rsidRDefault="00142112">
      <w:r>
        <w:separator/>
      </w:r>
    </w:p>
  </w:endnote>
  <w:endnote w:type="continuationSeparator" w:id="0">
    <w:p w:rsidR="00AF0447" w:rsidRDefault="001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7" w:rsidRDefault="001421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447" w:rsidRDefault="00AF04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6358"/>
      <w:docPartObj>
        <w:docPartGallery w:val="Page Numbers (Bottom of Page)"/>
        <w:docPartUnique/>
      </w:docPartObj>
    </w:sdtPr>
    <w:sdtEndPr/>
    <w:sdtContent>
      <w:p w:rsidR="00F14442" w:rsidRDefault="00F14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FC" w:rsidRPr="00AE69FC">
          <w:rPr>
            <w:noProof/>
            <w:lang w:val="ja-JP"/>
          </w:rPr>
          <w:t>1</w:t>
        </w:r>
        <w:r>
          <w:fldChar w:fldCharType="end"/>
        </w:r>
      </w:p>
    </w:sdtContent>
  </w:sdt>
  <w:p w:rsidR="00F14442" w:rsidRDefault="00F144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657608"/>
      <w:docPartObj>
        <w:docPartGallery w:val="Page Numbers (Bottom of Page)"/>
        <w:docPartUnique/>
      </w:docPartObj>
    </w:sdtPr>
    <w:sdtEndPr/>
    <w:sdtContent>
      <w:p w:rsidR="00F14442" w:rsidRDefault="00F14442">
        <w:pPr>
          <w:pStyle w:val="a3"/>
          <w:jc w:val="center"/>
        </w:pPr>
        <w:r>
          <w:rPr>
            <w:rFonts w:hint="eastAsia"/>
          </w:rPr>
          <w:t>1</w:t>
        </w:r>
      </w:p>
    </w:sdtContent>
  </w:sdt>
  <w:p w:rsidR="00F14442" w:rsidRDefault="00F144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47" w:rsidRDefault="00142112">
      <w:r>
        <w:separator/>
      </w:r>
    </w:p>
  </w:footnote>
  <w:footnote w:type="continuationSeparator" w:id="0">
    <w:p w:rsidR="00AF0447" w:rsidRDefault="0014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CB"/>
    <w:multiLevelType w:val="hybridMultilevel"/>
    <w:tmpl w:val="369C635A"/>
    <w:lvl w:ilvl="0" w:tplc="352A006A">
      <w:start w:val="2"/>
      <w:numFmt w:val="bullet"/>
      <w:lvlText w:val="※"/>
      <w:lvlJc w:val="left"/>
      <w:pPr>
        <w:tabs>
          <w:tab w:val="num" w:pos="1377"/>
        </w:tabs>
        <w:ind w:left="1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7"/>
        </w:tabs>
        <w:ind w:left="1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7"/>
        </w:tabs>
        <w:ind w:left="2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7"/>
        </w:tabs>
        <w:ind w:left="2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7"/>
        </w:tabs>
        <w:ind w:left="3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7"/>
        </w:tabs>
        <w:ind w:left="3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7"/>
        </w:tabs>
        <w:ind w:left="3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7"/>
        </w:tabs>
        <w:ind w:left="4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7"/>
        </w:tabs>
        <w:ind w:left="4797" w:hanging="420"/>
      </w:pPr>
      <w:rPr>
        <w:rFonts w:ascii="Wingdings" w:hAnsi="Wingdings" w:hint="default"/>
      </w:rPr>
    </w:lvl>
  </w:abstractNum>
  <w:abstractNum w:abstractNumId="1" w15:restartNumberingAfterBreak="0">
    <w:nsid w:val="0621555C"/>
    <w:multiLevelType w:val="hybridMultilevel"/>
    <w:tmpl w:val="E5DCE888"/>
    <w:lvl w:ilvl="0" w:tplc="9384A7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F5142"/>
    <w:multiLevelType w:val="hybridMultilevel"/>
    <w:tmpl w:val="7EF046AE"/>
    <w:lvl w:ilvl="0" w:tplc="129C453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270"/>
    <w:multiLevelType w:val="hybridMultilevel"/>
    <w:tmpl w:val="269EDBDA"/>
    <w:lvl w:ilvl="0" w:tplc="335A8A4C">
      <w:start w:val="2"/>
      <w:numFmt w:val="bullet"/>
      <w:lvlText w:val="●"/>
      <w:lvlJc w:val="left"/>
      <w:pPr>
        <w:tabs>
          <w:tab w:val="num" w:pos="1146"/>
        </w:tabs>
        <w:ind w:left="11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4" w15:restartNumberingAfterBreak="0">
    <w:nsid w:val="277C7EF2"/>
    <w:multiLevelType w:val="hybridMultilevel"/>
    <w:tmpl w:val="56F0B1B0"/>
    <w:lvl w:ilvl="0" w:tplc="1924F540">
      <w:start w:val="2"/>
      <w:numFmt w:val="bullet"/>
      <w:lvlText w:val="※"/>
      <w:lvlJc w:val="left"/>
      <w:pPr>
        <w:tabs>
          <w:tab w:val="num" w:pos="1477"/>
        </w:tabs>
        <w:ind w:left="147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7"/>
        </w:tabs>
        <w:ind w:left="4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7"/>
        </w:tabs>
        <w:ind w:left="4897" w:hanging="420"/>
      </w:pPr>
      <w:rPr>
        <w:rFonts w:ascii="Wingdings" w:hAnsi="Wingdings" w:hint="default"/>
      </w:rPr>
    </w:lvl>
  </w:abstractNum>
  <w:abstractNum w:abstractNumId="5" w15:restartNumberingAfterBreak="0">
    <w:nsid w:val="2B9A7F9F"/>
    <w:multiLevelType w:val="hybridMultilevel"/>
    <w:tmpl w:val="6EAE613E"/>
    <w:lvl w:ilvl="0" w:tplc="A1885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16100"/>
    <w:multiLevelType w:val="hybridMultilevel"/>
    <w:tmpl w:val="BF6E85AA"/>
    <w:lvl w:ilvl="0" w:tplc="682CE1B0">
      <w:start w:val="2"/>
      <w:numFmt w:val="bullet"/>
      <w:lvlText w:val="・"/>
      <w:lvlJc w:val="left"/>
      <w:pPr>
        <w:tabs>
          <w:tab w:val="num" w:pos="1821"/>
        </w:tabs>
        <w:ind w:left="18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</w:abstractNum>
  <w:abstractNum w:abstractNumId="7" w15:restartNumberingAfterBreak="0">
    <w:nsid w:val="6B752371"/>
    <w:multiLevelType w:val="hybridMultilevel"/>
    <w:tmpl w:val="DD129696"/>
    <w:lvl w:ilvl="0" w:tplc="3EA821C4">
      <w:start w:val="3"/>
      <w:numFmt w:val="bullet"/>
      <w:lvlText w:val="□"/>
      <w:lvlJc w:val="left"/>
      <w:pPr>
        <w:tabs>
          <w:tab w:val="num" w:pos="1702"/>
        </w:tabs>
        <w:ind w:left="170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</w:abstractNum>
  <w:abstractNum w:abstractNumId="8" w15:restartNumberingAfterBreak="0">
    <w:nsid w:val="7C5D4A9A"/>
    <w:multiLevelType w:val="hybridMultilevel"/>
    <w:tmpl w:val="52248F58"/>
    <w:lvl w:ilvl="0" w:tplc="58A886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7"/>
    <w:rsid w:val="0003523B"/>
    <w:rsid w:val="000A26E3"/>
    <w:rsid w:val="000D7101"/>
    <w:rsid w:val="00142112"/>
    <w:rsid w:val="0015064B"/>
    <w:rsid w:val="00154EC0"/>
    <w:rsid w:val="00176854"/>
    <w:rsid w:val="001F14CB"/>
    <w:rsid w:val="00380899"/>
    <w:rsid w:val="003E1DEB"/>
    <w:rsid w:val="003F491F"/>
    <w:rsid w:val="0043257C"/>
    <w:rsid w:val="006C1CD2"/>
    <w:rsid w:val="007245ED"/>
    <w:rsid w:val="0075606B"/>
    <w:rsid w:val="00785B67"/>
    <w:rsid w:val="007B2EFD"/>
    <w:rsid w:val="00807262"/>
    <w:rsid w:val="0083770E"/>
    <w:rsid w:val="00AE69FC"/>
    <w:rsid w:val="00AF0447"/>
    <w:rsid w:val="00C275D0"/>
    <w:rsid w:val="00D0574F"/>
    <w:rsid w:val="00D42AB3"/>
    <w:rsid w:val="00DF6B5C"/>
    <w:rsid w:val="00E1247A"/>
    <w:rsid w:val="00F14442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888005"/>
  <w15:docId w15:val="{C6D9B742-2860-4CDB-8237-B1832D7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9">
    <w:name w:val="Date"/>
    <w:basedOn w:val="a"/>
    <w:next w:val="a"/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0">
    <w:name w:val="HTML Preformatted"/>
    <w:basedOn w:val="a"/>
    <w:link w:val="HTML1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1">
    <w:name w:val="HTML 書式付き (文字)"/>
    <w:basedOn w:val="a0"/>
    <w:link w:val="HTML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F14C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14C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F14C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4C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14CB"/>
    <w:rPr>
      <w:b/>
      <w:bCs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F144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09D7-AD2C-46DF-9231-5BE9083F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平成17年5月11日</vt:lpstr>
      <vt:lpstr>平成17年5月11日</vt:lpstr>
    </vt:vector>
  </TitlesOfParts>
  <Company>高松市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平成17年5月11日</dc:title>
  <dc:creator>M4891</dc:creator>
  <cp:lastModifiedBy>野田 奈緒美</cp:lastModifiedBy>
  <cp:revision>73</cp:revision>
  <cp:lastPrinted>2017-11-21T03:56:00Z</cp:lastPrinted>
  <dcterms:created xsi:type="dcterms:W3CDTF">2018-06-22T03:12:00Z</dcterms:created>
  <dcterms:modified xsi:type="dcterms:W3CDTF">2019-02-25T01:19:00Z</dcterms:modified>
</cp:coreProperties>
</file>